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9" w:rsidRPr="00102A89" w:rsidRDefault="00102A89" w:rsidP="0010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</w:p>
    <w:p w:rsidR="00102A89" w:rsidRPr="00102A89" w:rsidRDefault="00102A89" w:rsidP="0010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CƠ CHẾ CHÍNH SÁCH ƯU ĐÃI ĐẦU TƯ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hỗ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trợ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02A89" w:rsidRPr="00102A89" w:rsidRDefault="00102A89" w:rsidP="0010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A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A89" w:rsidRPr="00102A89" w:rsidRDefault="00102A89" w:rsidP="0010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. Ban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01-05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niêm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Nam).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20-30% chi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bậc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2;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mặt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thô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suốt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), 21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Nam-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nhập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05%.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Nam-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lastRenderedPageBreak/>
        <w:t>hơn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10%.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03%.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Nam-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06%.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t>GIẤY PHÉP ĐẦU TƯ</w:t>
      </w:r>
      <w:r w:rsidRPr="00102A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1/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KCN.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2/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KH-ĐT.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USD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A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3/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</w:r>
      <w:r w:rsidRPr="00102A89">
        <w:rPr>
          <w:rFonts w:ascii="Times New Roman" w:eastAsia="Times New Roman" w:hAnsi="Times New Roman" w:cs="Times New Roman"/>
          <w:sz w:val="24"/>
          <w:szCs w:val="24"/>
        </w:rPr>
        <w:br/>
        <w:t xml:space="preserve">4/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: 1-5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309" w:rsidRPr="00102A89" w:rsidRDefault="00102A89">
      <w:pPr>
        <w:rPr>
          <w:rFonts w:ascii="Times New Roman" w:hAnsi="Times New Roman" w:cs="Times New Roman"/>
        </w:rPr>
      </w:pPr>
    </w:p>
    <w:sectPr w:rsidR="00D24309" w:rsidRPr="00102A89" w:rsidSect="0071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02A89"/>
    <w:rsid w:val="00102A89"/>
    <w:rsid w:val="003A7110"/>
    <w:rsid w:val="00654793"/>
    <w:rsid w:val="0071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ometext">
    <w:name w:val="articlehometext"/>
    <w:basedOn w:val="Normal"/>
    <w:rsid w:val="0010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metext">
    <w:name w:val="indexhometext"/>
    <w:basedOn w:val="Normal"/>
    <w:rsid w:val="0010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>CQ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trangndt</dc:creator>
  <cp:keywords/>
  <dc:description/>
  <cp:lastModifiedBy>trangndt</cp:lastModifiedBy>
  <cp:revision>1</cp:revision>
  <dcterms:created xsi:type="dcterms:W3CDTF">2012-11-05T08:56:00Z</dcterms:created>
  <dcterms:modified xsi:type="dcterms:W3CDTF">2012-11-05T08:56:00Z</dcterms:modified>
</cp:coreProperties>
</file>